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D3A2" w14:textId="77777777" w:rsidR="00C9379B" w:rsidRDefault="00C9379B">
      <w:pPr>
        <w:pStyle w:val="Heading1"/>
      </w:pPr>
    </w:p>
    <w:p w14:paraId="7F41094B" w14:textId="19DFB6B4" w:rsidR="00A02B24" w:rsidRPr="00C95875" w:rsidRDefault="00C9379B">
      <w:pPr>
        <w:pStyle w:val="Heading1"/>
        <w:rPr>
          <w:color w:val="auto"/>
        </w:rPr>
      </w:pPr>
      <w:r w:rsidRPr="00C95875">
        <w:rPr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3A536F69" wp14:editId="0E38CA94">
            <wp:simplePos x="0" y="0"/>
            <wp:positionH relativeFrom="column">
              <wp:posOffset>-584200</wp:posOffset>
            </wp:positionH>
            <wp:positionV relativeFrom="page">
              <wp:posOffset>508000</wp:posOffset>
            </wp:positionV>
            <wp:extent cx="3307080" cy="639445"/>
            <wp:effectExtent l="0" t="0" r="0" b="0"/>
            <wp:wrapNone/>
            <wp:docPr id="988627172" name="Picture 3" descr="Minnesota State Transportation Center of Excellence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627172" name="Picture 3" descr="Minnesota State Transportation Center of Excellence logo 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08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875">
        <w:rPr>
          <w:color w:val="auto"/>
        </w:rPr>
        <w:t>Best Practice Toolkit for Curriculum Delivery</w:t>
      </w:r>
    </w:p>
    <w:p w14:paraId="7D0E80A6" w14:textId="77777777" w:rsidR="00A02B24" w:rsidRDefault="00000000">
      <w:r>
        <w:t>This toolkit is designed for a consortium of transportation-related post-secondary educational programs. It provides best practices for curriculum delivery across six key sectors: Powersports, Aviation (Pilots &amp; Technicians), Truck Driving, Diesel Technicians, Automotive Technicians, and Autobody/Collision Technicians.</w:t>
      </w:r>
    </w:p>
    <w:p w14:paraId="306A4AA1" w14:textId="77777777" w:rsidR="00A02B24" w:rsidRPr="00C95875" w:rsidRDefault="00000000">
      <w:pPr>
        <w:pStyle w:val="Heading2"/>
        <w:rPr>
          <w:color w:val="auto"/>
        </w:rPr>
      </w:pPr>
      <w:r w:rsidRPr="00C95875">
        <w:rPr>
          <w:color w:val="auto"/>
        </w:rPr>
        <w:t>1. Curriculum Framework &amp; Standards</w:t>
      </w:r>
    </w:p>
    <w:p w14:paraId="78BDD2BC" w14:textId="77777777" w:rsidR="00A02B24" w:rsidRDefault="00000000">
      <w:r>
        <w:t>Sector-Specific Competency Models: Align each program with national and industry-recognized standards such as ASE, FAA, FMCSA, and I-CAR.</w:t>
      </w:r>
    </w:p>
    <w:p w14:paraId="254A64BE" w14:textId="77777777" w:rsidR="00A02B24" w:rsidRDefault="00000000">
      <w:r>
        <w:t>Career Pathway Mapping: Develop visual maps showing progression from high school CTE to college credentials and employment.</w:t>
      </w:r>
    </w:p>
    <w:p w14:paraId="32079CD3" w14:textId="77777777" w:rsidR="00A02B24" w:rsidRDefault="00000000">
      <w:r>
        <w:t>Curriculum Integration: Embed soft skills, employability skills, and cross-sector modules like safety and digital literacy.</w:t>
      </w:r>
    </w:p>
    <w:p w14:paraId="69180F49" w14:textId="77777777" w:rsidR="00A02B24" w:rsidRPr="00C95875" w:rsidRDefault="00000000">
      <w:pPr>
        <w:pStyle w:val="Heading2"/>
        <w:rPr>
          <w:color w:val="auto"/>
        </w:rPr>
      </w:pPr>
      <w:r w:rsidRPr="00C95875">
        <w:rPr>
          <w:color w:val="auto"/>
        </w:rPr>
        <w:t>2. Instructional Resources</w:t>
      </w:r>
    </w:p>
    <w:p w14:paraId="5B0F4C0B" w14:textId="77777777" w:rsidR="00A02B24" w:rsidRDefault="00000000">
      <w:r>
        <w:t>Digital &amp; Physical Materials: Provide access to OEM manuals, FAA handbooks, CDL prep guides, and I-CAR modules.</w:t>
      </w:r>
    </w:p>
    <w:p w14:paraId="74E52ABE" w14:textId="77777777" w:rsidR="00A02B24" w:rsidRDefault="00000000">
      <w:r>
        <w:t>Open Educational Resources (OER): Use platforms like SkillsCommons and NNTW to source free curriculum materials.</w:t>
      </w:r>
    </w:p>
    <w:p w14:paraId="16A5B8AE" w14:textId="77777777" w:rsidR="00A02B24" w:rsidRDefault="00000000">
      <w:r>
        <w:t>Learning Management System (LMS) Integration: Standardize delivery using Canvas, D2L, or Moodle with embedded interactive content.</w:t>
      </w:r>
    </w:p>
    <w:p w14:paraId="6EAAB636" w14:textId="77777777" w:rsidR="00A02B24" w:rsidRPr="00C95875" w:rsidRDefault="00000000">
      <w:pPr>
        <w:pStyle w:val="Heading2"/>
        <w:rPr>
          <w:color w:val="auto"/>
        </w:rPr>
      </w:pPr>
      <w:r w:rsidRPr="00C95875">
        <w:rPr>
          <w:color w:val="auto"/>
        </w:rPr>
        <w:t>3. Hands-On Training &amp; Labs</w:t>
      </w:r>
    </w:p>
    <w:p w14:paraId="261D2F01" w14:textId="77777777" w:rsidR="00A02B24" w:rsidRDefault="00000000">
      <w:r>
        <w:t>Lab Design &amp; Safety Protocols: Create sector-specific lab environments with appropriate equipment and safety compliance.</w:t>
      </w:r>
    </w:p>
    <w:p w14:paraId="48A0F6BB" w14:textId="77777777" w:rsidR="00A02B24" w:rsidRDefault="00000000">
      <w:r>
        <w:t>Simulated &amp; Real-World Practice: Use AR/VR tools and partner with employers for live training opportunities.</w:t>
      </w:r>
    </w:p>
    <w:p w14:paraId="622634B4" w14:textId="77777777" w:rsidR="00A02B24" w:rsidRDefault="00000000">
      <w:r>
        <w:t>Mobile Training Units: Deploy trailers equipped with simulators and tools to reach rural and underserved areas.</w:t>
      </w:r>
    </w:p>
    <w:p w14:paraId="6EC0D63F" w14:textId="77777777" w:rsidR="00A02B24" w:rsidRPr="00C95875" w:rsidRDefault="00000000">
      <w:pPr>
        <w:pStyle w:val="Heading2"/>
        <w:rPr>
          <w:color w:val="auto"/>
        </w:rPr>
      </w:pPr>
      <w:r w:rsidRPr="00C95875">
        <w:rPr>
          <w:color w:val="auto"/>
        </w:rPr>
        <w:t>4. Faculty Development</w:t>
      </w:r>
    </w:p>
    <w:p w14:paraId="76E82E90" w14:textId="77777777" w:rsidR="00A02B24" w:rsidRDefault="00000000">
      <w:r>
        <w:t>Train-the-Trainer Programs: Host workshops on emerging technologies and regulatory updates.</w:t>
      </w:r>
    </w:p>
    <w:p w14:paraId="444F37EF" w14:textId="77777777" w:rsidR="00A02B24" w:rsidRDefault="00000000">
      <w:r>
        <w:lastRenderedPageBreak/>
        <w:t>Mentorship &amp; Peer Networks: Pair new instructors with experienced faculty and facilitate regular meetups.</w:t>
      </w:r>
    </w:p>
    <w:p w14:paraId="2E219BC6" w14:textId="77777777" w:rsidR="00A02B24" w:rsidRDefault="00000000">
      <w:r>
        <w:t>Credentialing Support: Provide funding and time for instructors to earn ASE, FAA, and I-CAR certifications.</w:t>
      </w:r>
    </w:p>
    <w:p w14:paraId="5A61CD80" w14:textId="77777777" w:rsidR="00A02B24" w:rsidRPr="00C95875" w:rsidRDefault="00000000">
      <w:pPr>
        <w:pStyle w:val="Heading2"/>
        <w:rPr>
          <w:color w:val="auto"/>
        </w:rPr>
      </w:pPr>
      <w:r w:rsidRPr="00C95875">
        <w:rPr>
          <w:color w:val="auto"/>
        </w:rPr>
        <w:t>5. Assessment &amp; Evaluation</w:t>
      </w:r>
    </w:p>
    <w:p w14:paraId="751587C8" w14:textId="77777777" w:rsidR="00A02B24" w:rsidRDefault="00000000">
      <w:r>
        <w:t>Performance-Based Rubrics: Develop rubrics for hands-on tasks and technical competencies.</w:t>
      </w:r>
    </w:p>
    <w:p w14:paraId="5606ED27" w14:textId="77777777" w:rsidR="00A02B24" w:rsidRDefault="00000000">
      <w:r>
        <w:t>Certification Prep &amp; Tracking: Monitor student progress toward industry certifications and offer mock exams.</w:t>
      </w:r>
    </w:p>
    <w:p w14:paraId="62C4E7C7" w14:textId="77777777" w:rsidR="00A02B24" w:rsidRDefault="00000000">
      <w:r>
        <w:t>Program Review &amp; Feedback Loops: Conduct annual reviews with advisory boards, surveys, and self-assessments.</w:t>
      </w:r>
    </w:p>
    <w:p w14:paraId="36FCABBD" w14:textId="77777777" w:rsidR="00A02B24" w:rsidRPr="00C95875" w:rsidRDefault="00000000">
      <w:pPr>
        <w:pStyle w:val="Heading2"/>
        <w:rPr>
          <w:color w:val="auto"/>
        </w:rPr>
      </w:pPr>
      <w:r w:rsidRPr="00C95875">
        <w:rPr>
          <w:color w:val="auto"/>
        </w:rPr>
        <w:t>6. Industry &amp; Community Engagement</w:t>
      </w:r>
    </w:p>
    <w:p w14:paraId="16554176" w14:textId="77777777" w:rsidR="00A02B24" w:rsidRDefault="00000000">
      <w:r>
        <w:t>Advisory Committees: Form sector-specific boards with employers, alumni, and industry associations.</w:t>
      </w:r>
    </w:p>
    <w:p w14:paraId="5FBD1080" w14:textId="77777777" w:rsidR="00A02B24" w:rsidRDefault="00000000">
      <w:r>
        <w:t>Work-Based Learning Models: Develop partnerships for internships, apprenticeships, and co-op programs.</w:t>
      </w:r>
    </w:p>
    <w:p w14:paraId="732EE706" w14:textId="77777777" w:rsidR="00A02B24" w:rsidRDefault="00000000">
      <w:r>
        <w:t>Outreach &amp; Recruitment: Host career fairs, demo days, and promote diversity in transportation careers.</w:t>
      </w:r>
    </w:p>
    <w:p w14:paraId="6961B9ED" w14:textId="77777777" w:rsidR="00A02B24" w:rsidRPr="00C95875" w:rsidRDefault="00000000">
      <w:pPr>
        <w:pStyle w:val="Heading2"/>
        <w:rPr>
          <w:color w:val="auto"/>
        </w:rPr>
      </w:pPr>
      <w:r w:rsidRPr="00C95875">
        <w:rPr>
          <w:color w:val="auto"/>
        </w:rPr>
        <w:t>7. Equity &amp; Access</w:t>
      </w:r>
    </w:p>
    <w:p w14:paraId="6526B6C0" w14:textId="77777777" w:rsidR="00A02B24" w:rsidRDefault="00000000">
      <w:r>
        <w:t>Inclusive Curriculum Design: Apply Universal Design for Learning (UDL) principles and offer adaptive technologies.</w:t>
      </w:r>
    </w:p>
    <w:p w14:paraId="193DD50B" w14:textId="77777777" w:rsidR="00A02B24" w:rsidRDefault="00000000">
      <w:r>
        <w:t>Support Services Integration: Coordinate with campus services for tutoring, mental health, and career counseling.</w:t>
      </w:r>
    </w:p>
    <w:p w14:paraId="7422D30C" w14:textId="77777777" w:rsidR="00A02B24" w:rsidRDefault="00000000">
      <w:r>
        <w:t>Flexible Delivery Models: Offer hybrid, evening, and weekend classes with remote access options.</w:t>
      </w:r>
    </w:p>
    <w:sectPr w:rsidR="00A02B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9627088">
    <w:abstractNumId w:val="8"/>
  </w:num>
  <w:num w:numId="2" w16cid:durableId="2137984340">
    <w:abstractNumId w:val="6"/>
  </w:num>
  <w:num w:numId="3" w16cid:durableId="1879391895">
    <w:abstractNumId w:val="5"/>
  </w:num>
  <w:num w:numId="4" w16cid:durableId="619841831">
    <w:abstractNumId w:val="4"/>
  </w:num>
  <w:num w:numId="5" w16cid:durableId="121075199">
    <w:abstractNumId w:val="7"/>
  </w:num>
  <w:num w:numId="6" w16cid:durableId="1387024445">
    <w:abstractNumId w:val="3"/>
  </w:num>
  <w:num w:numId="7" w16cid:durableId="342125200">
    <w:abstractNumId w:val="2"/>
  </w:num>
  <w:num w:numId="8" w16cid:durableId="1489587980">
    <w:abstractNumId w:val="1"/>
  </w:num>
  <w:num w:numId="9" w16cid:durableId="73546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02B24"/>
    <w:rsid w:val="00AA1D8D"/>
    <w:rsid w:val="00B47730"/>
    <w:rsid w:val="00C9379B"/>
    <w:rsid w:val="00C95875"/>
    <w:rsid w:val="00CB0664"/>
    <w:rsid w:val="00CD013A"/>
    <w:rsid w:val="00D7055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6C0B75"/>
  <w14:defaultImageDpi w14:val="300"/>
  <w15:docId w15:val="{D0BAB618-C067-554A-89B6-7A86D0D0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36A0981EC974CBD83B73534918EF2" ma:contentTypeVersion="19" ma:contentTypeDescription="Create a new document." ma:contentTypeScope="" ma:versionID="17c372c11750d715ac27a3f8952fbd33">
  <xsd:schema xmlns:xsd="http://www.w3.org/2001/XMLSchema" xmlns:xs="http://www.w3.org/2001/XMLSchema" xmlns:p="http://schemas.microsoft.com/office/2006/metadata/properties" xmlns:ns2="a1f99311-9b59-4662-84df-2d8838d343c4" xmlns:ns3="327b58b6-4428-4cce-83d8-bf260eecffa0" targetNamespace="http://schemas.microsoft.com/office/2006/metadata/properties" ma:root="true" ma:fieldsID="b513a185ea82a03eb1c9a6c1dd51c25c" ns2:_="" ns3:_="">
    <xsd:import namespace="a1f99311-9b59-4662-84df-2d8838d343c4"/>
    <xsd:import namespace="327b58b6-4428-4cce-83d8-bf260eecf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99311-9b59-4662-84df-2d8838d34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b58b6-4428-4cce-83d8-bf260eecf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050dd23-f87a-4394-b25d-c9afe2793dfc}" ma:internalName="TaxCatchAll" ma:showField="CatchAllData" ma:web="327b58b6-4428-4cce-83d8-bf260eecf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7b58b6-4428-4cce-83d8-bf260eecffa0" xsi:nil="true"/>
    <lcf76f155ced4ddcb4097134ff3c332f xmlns="a1f99311-9b59-4662-84df-2d8838d343c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27ECB0-351F-4F3C-91C1-9242BFFBE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99311-9b59-4662-84df-2d8838d343c4"/>
    <ds:schemaRef ds:uri="327b58b6-4428-4cce-83d8-bf260eecf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FCF093-6960-4902-B189-6D0C03CB88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D856D1-FE60-4D53-8714-E74BD4F3AC37}">
  <ds:schemaRefs>
    <ds:schemaRef ds:uri="http://schemas.microsoft.com/office/2006/metadata/properties"/>
    <ds:schemaRef ds:uri="http://schemas.microsoft.com/office/infopath/2007/PartnerControls"/>
    <ds:schemaRef ds:uri="327b58b6-4428-4cce-83d8-bf260eecffa0"/>
    <ds:schemaRef ds:uri="a1f99311-9b59-4662-84df-2d8838d343c4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Yates, Cassidy</cp:lastModifiedBy>
  <cp:revision>3</cp:revision>
  <dcterms:created xsi:type="dcterms:W3CDTF">2013-12-23T23:15:00Z</dcterms:created>
  <dcterms:modified xsi:type="dcterms:W3CDTF">2025-10-29T20:05:00Z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0x0101004F336A0981EC974CBD83B73534918EF2</vt:lpwstr>
  </property>
</Properties>
</file>